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7C00" w14:textId="5E03F906" w:rsidR="00DB697C" w:rsidRPr="00331EB2" w:rsidRDefault="00DB697C" w:rsidP="00E25609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DB697C">
        <w:rPr>
          <w:rFonts w:ascii="Arial" w:hAnsi="Arial" w:cs="Arial"/>
          <w:bCs/>
          <w:spacing w:val="-3"/>
          <w:sz w:val="22"/>
          <w:szCs w:val="22"/>
        </w:rPr>
        <w:t>The justice portfolio encompasses the administration of over 200 statutes</w:t>
      </w:r>
      <w:r w:rsidRPr="00331EB2">
        <w:rPr>
          <w:rFonts w:ascii="Arial" w:hAnsi="Arial" w:cs="Arial"/>
          <w:bCs/>
          <w:spacing w:val="-3"/>
          <w:sz w:val="22"/>
          <w:szCs w:val="22"/>
        </w:rPr>
        <w:t xml:space="preserve"> which are periodically reviewed to identify amendments to ensure that the Acts continue to operate in the manner intended. Other amendments to legislation may be identified as a result of court or tribunal decisions or representations by administering agencies and stakeholders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9C7C3D3" w14:textId="4309BCE8" w:rsidR="00DB697C" w:rsidRPr="00A82E3B" w:rsidRDefault="00DB697C" w:rsidP="00E25609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542E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Justice and Other Legislation Amendment Bill 2023 </w:t>
      </w:r>
      <w:r w:rsidRPr="00C542E3">
        <w:rPr>
          <w:rFonts w:ascii="Arial" w:hAnsi="Arial" w:cs="Arial"/>
          <w:bCs/>
          <w:spacing w:val="-3"/>
          <w:sz w:val="22"/>
          <w:szCs w:val="22"/>
        </w:rPr>
        <w:t>(the Bill) makes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miscellaneous</w:t>
      </w:r>
      <w:r w:rsidRPr="00C542E3">
        <w:rPr>
          <w:rFonts w:ascii="Arial" w:hAnsi="Arial" w:cs="Arial"/>
          <w:bCs/>
          <w:spacing w:val="-3"/>
          <w:sz w:val="22"/>
          <w:szCs w:val="22"/>
        </w:rPr>
        <w:t xml:space="preserve"> amendments to </w:t>
      </w:r>
      <w:r w:rsidR="00CD4F7A">
        <w:rPr>
          <w:rFonts w:ascii="Arial" w:hAnsi="Arial" w:cs="Arial"/>
          <w:bCs/>
          <w:spacing w:val="-3"/>
          <w:sz w:val="22"/>
          <w:szCs w:val="22"/>
        </w:rPr>
        <w:t>over 30</w:t>
      </w:r>
      <w:r w:rsidR="00CD4F7A" w:rsidRPr="00C542E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44D2C" w:rsidRPr="00C62D0E">
        <w:rPr>
          <w:rFonts w:ascii="Arial" w:hAnsi="Arial" w:cs="Arial"/>
          <w:bCs/>
          <w:spacing w:val="-3"/>
          <w:sz w:val="22"/>
          <w:szCs w:val="22"/>
        </w:rPr>
        <w:t>pieces of legislation</w:t>
      </w:r>
      <w:r w:rsidRPr="00C542E3">
        <w:rPr>
          <w:rFonts w:ascii="Arial" w:hAnsi="Arial" w:cs="Arial"/>
          <w:bCs/>
          <w:spacing w:val="-3"/>
          <w:sz w:val="22"/>
          <w:szCs w:val="22"/>
        </w:rPr>
        <w:t>, including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amendments to</w:t>
      </w:r>
      <w:r w:rsidRPr="00C542E3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7E09F40C" w14:textId="5EA73A4B" w:rsidR="00AB22B2" w:rsidRPr="00AB22B2" w:rsidRDefault="00AB22B2" w:rsidP="00957E92">
      <w:pPr>
        <w:pStyle w:val="ListParagraph"/>
        <w:keepLines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31528275"/>
      <w:r w:rsidRPr="00AB22B2">
        <w:rPr>
          <w:rFonts w:ascii="Arial" w:hAnsi="Arial" w:cs="Arial"/>
          <w:sz w:val="22"/>
          <w:szCs w:val="22"/>
        </w:rPr>
        <w:t xml:space="preserve">modernise the </w:t>
      </w:r>
      <w:r w:rsidRPr="00AB22B2">
        <w:rPr>
          <w:rFonts w:ascii="Arial" w:hAnsi="Arial" w:cs="Arial"/>
          <w:i/>
          <w:iCs/>
          <w:sz w:val="22"/>
          <w:szCs w:val="22"/>
        </w:rPr>
        <w:t>Appeal Costs Fund Act 1973</w:t>
      </w:r>
      <w:r w:rsidRPr="00AB22B2">
        <w:rPr>
          <w:rFonts w:ascii="Arial" w:hAnsi="Arial" w:cs="Arial"/>
          <w:sz w:val="22"/>
          <w:szCs w:val="22"/>
        </w:rPr>
        <w:t xml:space="preserve"> and improve its current fee and administrative arrangements; </w:t>
      </w:r>
    </w:p>
    <w:p w14:paraId="75FC4928" w14:textId="5ECBA50D" w:rsidR="00A82E3B" w:rsidRPr="00A82E3B" w:rsidRDefault="00A82E3B" w:rsidP="00957E92">
      <w:pPr>
        <w:keepLines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2E3B">
        <w:rPr>
          <w:rFonts w:ascii="Arial" w:hAnsi="Arial" w:cs="Arial"/>
          <w:sz w:val="22"/>
          <w:szCs w:val="22"/>
        </w:rPr>
        <w:t xml:space="preserve">the Criminal Code, </w:t>
      </w:r>
      <w:r w:rsidRPr="00A82E3B">
        <w:rPr>
          <w:rFonts w:ascii="Arial" w:hAnsi="Arial" w:cs="Arial"/>
          <w:i/>
          <w:iCs/>
          <w:sz w:val="22"/>
          <w:szCs w:val="22"/>
        </w:rPr>
        <w:t>Penalties and Sentences Act 19</w:t>
      </w:r>
      <w:r w:rsidR="006B60C1">
        <w:rPr>
          <w:rFonts w:ascii="Arial" w:hAnsi="Arial" w:cs="Arial"/>
          <w:i/>
          <w:iCs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 xml:space="preserve">, </w:t>
      </w:r>
      <w:r w:rsidRPr="00A82E3B">
        <w:rPr>
          <w:rFonts w:ascii="Arial" w:hAnsi="Arial" w:cs="Arial"/>
          <w:i/>
          <w:iCs/>
          <w:sz w:val="22"/>
          <w:szCs w:val="22"/>
        </w:rPr>
        <w:t>Youth Justice Act 1992</w:t>
      </w:r>
      <w:r w:rsidR="00F05048">
        <w:rPr>
          <w:rFonts w:ascii="Arial" w:hAnsi="Arial" w:cs="Arial"/>
          <w:i/>
          <w:iCs/>
          <w:sz w:val="22"/>
          <w:szCs w:val="22"/>
        </w:rPr>
        <w:t>,</w:t>
      </w:r>
      <w:r w:rsidRPr="00A82E3B">
        <w:rPr>
          <w:rFonts w:ascii="Arial" w:hAnsi="Arial" w:cs="Arial"/>
          <w:sz w:val="22"/>
          <w:szCs w:val="22"/>
        </w:rPr>
        <w:t xml:space="preserve"> and </w:t>
      </w:r>
      <w:r w:rsidRPr="00A82E3B">
        <w:rPr>
          <w:rFonts w:ascii="Arial" w:hAnsi="Arial" w:cs="Arial"/>
          <w:i/>
          <w:iCs/>
          <w:sz w:val="22"/>
          <w:szCs w:val="22"/>
        </w:rPr>
        <w:t>Victim</w:t>
      </w:r>
      <w:r w:rsidR="006B60C1">
        <w:rPr>
          <w:rFonts w:ascii="Arial" w:hAnsi="Arial" w:cs="Arial"/>
          <w:i/>
          <w:iCs/>
          <w:sz w:val="22"/>
          <w:szCs w:val="22"/>
        </w:rPr>
        <w:t>s</w:t>
      </w:r>
      <w:r w:rsidRPr="00A82E3B">
        <w:rPr>
          <w:rFonts w:ascii="Arial" w:hAnsi="Arial" w:cs="Arial"/>
          <w:i/>
          <w:iCs/>
          <w:sz w:val="22"/>
          <w:szCs w:val="22"/>
        </w:rPr>
        <w:t xml:space="preserve"> of Crime Assistance Act 2009</w:t>
      </w:r>
      <w:r w:rsidRPr="00A82E3B">
        <w:rPr>
          <w:rFonts w:ascii="Arial" w:hAnsi="Arial" w:cs="Arial"/>
          <w:sz w:val="22"/>
          <w:szCs w:val="22"/>
        </w:rPr>
        <w:t xml:space="preserve"> to enhance the recognition of the </w:t>
      </w:r>
      <w:r w:rsidR="006B60C1">
        <w:rPr>
          <w:rFonts w:ascii="Arial" w:hAnsi="Arial" w:cs="Arial"/>
          <w:sz w:val="22"/>
          <w:szCs w:val="22"/>
        </w:rPr>
        <w:t>death</w:t>
      </w:r>
      <w:r w:rsidRPr="00A82E3B">
        <w:rPr>
          <w:rFonts w:ascii="Arial" w:hAnsi="Arial" w:cs="Arial"/>
          <w:sz w:val="22"/>
          <w:szCs w:val="22"/>
        </w:rPr>
        <w:t xml:space="preserve"> of </w:t>
      </w:r>
      <w:r w:rsidR="006B60C1">
        <w:rPr>
          <w:rFonts w:ascii="Arial" w:hAnsi="Arial" w:cs="Arial"/>
          <w:sz w:val="22"/>
          <w:szCs w:val="22"/>
        </w:rPr>
        <w:t>an</w:t>
      </w:r>
      <w:r w:rsidRPr="00A82E3B">
        <w:rPr>
          <w:rFonts w:ascii="Arial" w:hAnsi="Arial" w:cs="Arial"/>
          <w:sz w:val="22"/>
          <w:szCs w:val="22"/>
        </w:rPr>
        <w:t xml:space="preserve"> unborn child as a result of </w:t>
      </w:r>
      <w:r w:rsidR="00F05048">
        <w:rPr>
          <w:rFonts w:ascii="Arial" w:hAnsi="Arial" w:cs="Arial"/>
          <w:sz w:val="22"/>
          <w:szCs w:val="22"/>
        </w:rPr>
        <w:t>an offence committed in relation to</w:t>
      </w:r>
      <w:r w:rsidRPr="00A82E3B">
        <w:rPr>
          <w:rFonts w:ascii="Arial" w:hAnsi="Arial" w:cs="Arial"/>
          <w:sz w:val="22"/>
          <w:szCs w:val="22"/>
        </w:rPr>
        <w:t xml:space="preserve"> a pregnant person</w:t>
      </w:r>
      <w:bookmarkEnd w:id="0"/>
      <w:r w:rsidRPr="00A82E3B">
        <w:rPr>
          <w:rFonts w:ascii="Arial" w:hAnsi="Arial" w:cs="Arial"/>
          <w:sz w:val="22"/>
          <w:szCs w:val="22"/>
        </w:rPr>
        <w:t>;</w:t>
      </w:r>
    </w:p>
    <w:p w14:paraId="2DA1B7E6" w14:textId="6FB306B3" w:rsidR="00A82E3B" w:rsidRDefault="00A82E3B" w:rsidP="00957E92">
      <w:pPr>
        <w:keepLines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2E3B">
        <w:rPr>
          <w:rFonts w:ascii="Arial" w:hAnsi="Arial" w:cs="Arial"/>
          <w:sz w:val="22"/>
          <w:szCs w:val="22"/>
        </w:rPr>
        <w:t xml:space="preserve">the Criminal Code, section 319A, to </w:t>
      </w:r>
      <w:r w:rsidR="00F05048">
        <w:rPr>
          <w:rFonts w:ascii="Arial" w:hAnsi="Arial" w:cs="Arial"/>
          <w:sz w:val="22"/>
          <w:szCs w:val="22"/>
        </w:rPr>
        <w:t xml:space="preserve">clarify the scope of the offence of </w:t>
      </w:r>
      <w:r w:rsidR="00B6359D">
        <w:rPr>
          <w:rFonts w:ascii="Arial" w:hAnsi="Arial" w:cs="Arial"/>
          <w:sz w:val="22"/>
          <w:szCs w:val="22"/>
        </w:rPr>
        <w:t xml:space="preserve">an unqualified person </w:t>
      </w:r>
      <w:r w:rsidR="00F05048">
        <w:rPr>
          <w:rFonts w:ascii="Arial" w:hAnsi="Arial" w:cs="Arial"/>
          <w:sz w:val="22"/>
          <w:szCs w:val="22"/>
        </w:rPr>
        <w:t xml:space="preserve">assisting in the performance of a termination of pregnancy with respect </w:t>
      </w:r>
      <w:r w:rsidRPr="00A82E3B">
        <w:rPr>
          <w:rFonts w:ascii="Arial" w:hAnsi="Arial" w:cs="Arial"/>
          <w:sz w:val="22"/>
          <w:szCs w:val="22"/>
        </w:rPr>
        <w:t xml:space="preserve">to </w:t>
      </w:r>
      <w:r w:rsidR="00F05048">
        <w:rPr>
          <w:rFonts w:ascii="Arial" w:hAnsi="Arial" w:cs="Arial"/>
          <w:sz w:val="22"/>
          <w:szCs w:val="22"/>
        </w:rPr>
        <w:t xml:space="preserve">‘supplying or </w:t>
      </w:r>
      <w:r w:rsidRPr="00A82E3B">
        <w:rPr>
          <w:rFonts w:ascii="Arial" w:hAnsi="Arial" w:cs="Arial"/>
          <w:sz w:val="22"/>
          <w:szCs w:val="22"/>
        </w:rPr>
        <w:t>procuring the supply of a termination drug</w:t>
      </w:r>
      <w:r w:rsidR="00F05048">
        <w:rPr>
          <w:rFonts w:ascii="Arial" w:hAnsi="Arial" w:cs="Arial"/>
          <w:sz w:val="22"/>
          <w:szCs w:val="22"/>
        </w:rPr>
        <w:t>’</w:t>
      </w:r>
      <w:r w:rsidRPr="00A82E3B">
        <w:rPr>
          <w:rFonts w:ascii="Arial" w:hAnsi="Arial" w:cs="Arial"/>
          <w:sz w:val="22"/>
          <w:szCs w:val="22"/>
        </w:rPr>
        <w:t>;</w:t>
      </w:r>
    </w:p>
    <w:p w14:paraId="386C1F9E" w14:textId="4EF91C84" w:rsidR="00A7711F" w:rsidRPr="00173BA8" w:rsidRDefault="00A7711F" w:rsidP="00957E92">
      <w:pPr>
        <w:keepLines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133353084"/>
      <w:r w:rsidRPr="00173BA8">
        <w:rPr>
          <w:rFonts w:ascii="Arial" w:hAnsi="Arial" w:cs="Arial"/>
          <w:sz w:val="22"/>
          <w:szCs w:val="22"/>
        </w:rPr>
        <w:t xml:space="preserve">remove restrictions in the </w:t>
      </w:r>
      <w:r w:rsidRPr="00173BA8">
        <w:rPr>
          <w:rFonts w:ascii="Arial" w:hAnsi="Arial" w:cs="Arial"/>
          <w:i/>
          <w:iCs/>
          <w:sz w:val="22"/>
          <w:szCs w:val="22"/>
        </w:rPr>
        <w:t>Criminal Law (Sexual Offences) Act 1978</w:t>
      </w:r>
      <w:r w:rsidRPr="00173BA8">
        <w:rPr>
          <w:rFonts w:ascii="Arial" w:hAnsi="Arial" w:cs="Arial"/>
          <w:sz w:val="22"/>
          <w:szCs w:val="22"/>
        </w:rPr>
        <w:t xml:space="preserve"> which prohibit identification of an adult defendant charged with a prescribed sexual offence prior to finalisation of committal proceedings;  </w:t>
      </w:r>
      <w:bookmarkEnd w:id="1"/>
    </w:p>
    <w:p w14:paraId="7EFAF579" w14:textId="1AECE686" w:rsidR="00A82E3B" w:rsidRPr="00AB22B2" w:rsidRDefault="00A82E3B" w:rsidP="00957E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AB22B2">
        <w:rPr>
          <w:rFonts w:ascii="Arial" w:hAnsi="Arial" w:cs="Arial"/>
          <w:sz w:val="22"/>
          <w:szCs w:val="22"/>
        </w:rPr>
        <w:t xml:space="preserve">the </w:t>
      </w:r>
      <w:r w:rsidRPr="00AB22B2">
        <w:rPr>
          <w:rFonts w:ascii="Arial" w:hAnsi="Arial" w:cs="Arial"/>
          <w:i/>
          <w:iCs/>
          <w:sz w:val="22"/>
          <w:szCs w:val="22"/>
        </w:rPr>
        <w:t>Electoral Act 1992</w:t>
      </w:r>
      <w:r w:rsidRPr="00AB22B2">
        <w:rPr>
          <w:rFonts w:ascii="Arial" w:hAnsi="Arial" w:cs="Arial"/>
          <w:sz w:val="22"/>
          <w:szCs w:val="22"/>
        </w:rPr>
        <w:t xml:space="preserve"> to </w:t>
      </w:r>
      <w:r w:rsidR="00AA7AE8">
        <w:rPr>
          <w:rFonts w:ascii="Arial" w:hAnsi="Arial" w:cs="Arial"/>
          <w:sz w:val="22"/>
          <w:szCs w:val="22"/>
        </w:rPr>
        <w:t xml:space="preserve">improve voter </w:t>
      </w:r>
      <w:r w:rsidR="00EF7132">
        <w:rPr>
          <w:rFonts w:ascii="Arial" w:hAnsi="Arial" w:cs="Arial"/>
          <w:sz w:val="22"/>
          <w:szCs w:val="22"/>
        </w:rPr>
        <w:t xml:space="preserve">enfranchisement </w:t>
      </w:r>
      <w:r w:rsidR="00EF7132" w:rsidRPr="00AB22B2">
        <w:rPr>
          <w:rFonts w:ascii="Arial" w:hAnsi="Arial" w:cs="Arial"/>
          <w:sz w:val="22"/>
          <w:szCs w:val="22"/>
        </w:rPr>
        <w:t>and</w:t>
      </w:r>
      <w:r w:rsidRPr="00AB22B2">
        <w:rPr>
          <w:rFonts w:ascii="Arial" w:hAnsi="Arial" w:cs="Arial"/>
          <w:sz w:val="22"/>
          <w:szCs w:val="22"/>
        </w:rPr>
        <w:t xml:space="preserve"> administrative efficiency</w:t>
      </w:r>
      <w:r w:rsidR="00CD4F7A">
        <w:rPr>
          <w:rFonts w:ascii="Arial" w:hAnsi="Arial" w:cs="Arial"/>
          <w:sz w:val="22"/>
          <w:szCs w:val="22"/>
        </w:rPr>
        <w:t xml:space="preserve"> ahead of the 2024 state election</w:t>
      </w:r>
      <w:r w:rsidRPr="00AB22B2">
        <w:rPr>
          <w:rFonts w:ascii="Arial" w:hAnsi="Arial" w:cs="Arial"/>
          <w:sz w:val="22"/>
          <w:szCs w:val="22"/>
        </w:rPr>
        <w:t>;</w:t>
      </w:r>
    </w:p>
    <w:p w14:paraId="5E78F66A" w14:textId="5D1D14F7" w:rsidR="00C5342B" w:rsidRPr="00285B47" w:rsidRDefault="00C5342B" w:rsidP="00957E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285B47">
        <w:rPr>
          <w:rFonts w:ascii="Arial" w:hAnsi="Arial" w:cs="Arial"/>
          <w:sz w:val="22"/>
          <w:szCs w:val="22"/>
        </w:rPr>
        <w:t xml:space="preserve">the </w:t>
      </w:r>
      <w:r w:rsidRPr="00285B47">
        <w:rPr>
          <w:rFonts w:ascii="Arial" w:hAnsi="Arial" w:cs="Arial"/>
          <w:i/>
          <w:iCs/>
          <w:sz w:val="22"/>
          <w:szCs w:val="22"/>
        </w:rPr>
        <w:t>Justices of the Peace and Commissioners for Declarations Act 1991</w:t>
      </w:r>
      <w:r w:rsidRPr="00285B47">
        <w:rPr>
          <w:rFonts w:ascii="Arial" w:hAnsi="Arial" w:cs="Arial"/>
          <w:sz w:val="22"/>
          <w:szCs w:val="22"/>
        </w:rPr>
        <w:t xml:space="preserve"> to enhance </w:t>
      </w:r>
      <w:r w:rsidR="00AA7AE8" w:rsidRPr="00285B47">
        <w:rPr>
          <w:rFonts w:ascii="Arial" w:hAnsi="Arial" w:cs="Arial"/>
          <w:sz w:val="22"/>
          <w:szCs w:val="22"/>
        </w:rPr>
        <w:t>appointment, disqualification and complaints processes</w:t>
      </w:r>
      <w:r w:rsidR="001B3DDE" w:rsidRPr="00285B47">
        <w:rPr>
          <w:rFonts w:ascii="Arial" w:hAnsi="Arial" w:cs="Arial"/>
          <w:sz w:val="22"/>
          <w:szCs w:val="22"/>
        </w:rPr>
        <w:t xml:space="preserve"> for justices of the peace and commissioners for declarations</w:t>
      </w:r>
      <w:r w:rsidRPr="00285B47">
        <w:rPr>
          <w:rFonts w:ascii="Arial" w:hAnsi="Arial" w:cs="Arial"/>
          <w:sz w:val="22"/>
          <w:szCs w:val="22"/>
        </w:rPr>
        <w:t>;</w:t>
      </w:r>
    </w:p>
    <w:p w14:paraId="538DCDAC" w14:textId="5A861204" w:rsidR="00CA09AD" w:rsidRDefault="00CA09AD" w:rsidP="00957E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CA09AD">
        <w:rPr>
          <w:rFonts w:ascii="Arial" w:hAnsi="Arial" w:cs="Arial"/>
          <w:i/>
          <w:iCs/>
          <w:sz w:val="22"/>
          <w:szCs w:val="22"/>
        </w:rPr>
        <w:t>Legal Profession Act 2007</w:t>
      </w:r>
      <w:r>
        <w:rPr>
          <w:rFonts w:ascii="Arial" w:hAnsi="Arial" w:cs="Arial"/>
          <w:sz w:val="22"/>
          <w:szCs w:val="22"/>
        </w:rPr>
        <w:t xml:space="preserve"> to </w:t>
      </w:r>
      <w:r w:rsidR="00D01BDF">
        <w:rPr>
          <w:rFonts w:ascii="Arial" w:hAnsi="Arial" w:cs="Arial"/>
          <w:sz w:val="22"/>
          <w:szCs w:val="22"/>
        </w:rPr>
        <w:t xml:space="preserve">deliver on the Government’s electoral commitments to </w:t>
      </w:r>
      <w:r>
        <w:rPr>
          <w:rFonts w:ascii="Arial" w:hAnsi="Arial" w:cs="Arial"/>
          <w:sz w:val="22"/>
          <w:szCs w:val="22"/>
        </w:rPr>
        <w:t xml:space="preserve">allow a law practice </w:t>
      </w:r>
      <w:r w:rsidR="00AA7AE8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destroy or dispose of client documents in certain circumstances and increase the cost disclosure threshold to $3,000;</w:t>
      </w:r>
    </w:p>
    <w:p w14:paraId="4EE73121" w14:textId="75E1D90E" w:rsidR="00AB22B2" w:rsidRPr="00AB22B2" w:rsidRDefault="00AB22B2" w:rsidP="00957E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AB22B2">
        <w:rPr>
          <w:rFonts w:ascii="Arial" w:hAnsi="Arial" w:cs="Arial"/>
          <w:sz w:val="22"/>
          <w:szCs w:val="22"/>
        </w:rPr>
        <w:t xml:space="preserve">address issues that have arisen in the implementation of amendments made to the </w:t>
      </w:r>
      <w:r w:rsidRPr="00AB22B2">
        <w:rPr>
          <w:rFonts w:ascii="Arial" w:hAnsi="Arial" w:cs="Arial"/>
          <w:i/>
          <w:iCs/>
          <w:sz w:val="22"/>
          <w:szCs w:val="22"/>
        </w:rPr>
        <w:t>Oaths Act 1867</w:t>
      </w:r>
      <w:r w:rsidRPr="00AB22B2">
        <w:rPr>
          <w:rFonts w:ascii="Arial" w:hAnsi="Arial" w:cs="Arial"/>
          <w:sz w:val="22"/>
          <w:szCs w:val="22"/>
        </w:rPr>
        <w:t xml:space="preserve"> by the </w:t>
      </w:r>
      <w:r w:rsidRPr="00CA09AD">
        <w:rPr>
          <w:rFonts w:ascii="Arial" w:hAnsi="Arial" w:cs="Arial"/>
          <w:i/>
          <w:iCs/>
          <w:sz w:val="22"/>
          <w:szCs w:val="22"/>
        </w:rPr>
        <w:t>Justice and Other Legislation Amendment Act 2021</w:t>
      </w:r>
      <w:r w:rsidRPr="00AB22B2">
        <w:rPr>
          <w:rFonts w:ascii="Arial" w:hAnsi="Arial" w:cs="Arial"/>
          <w:sz w:val="22"/>
          <w:szCs w:val="22"/>
        </w:rPr>
        <w:t xml:space="preserve">; </w:t>
      </w:r>
      <w:r w:rsidR="00CA09AD">
        <w:rPr>
          <w:rFonts w:ascii="Arial" w:hAnsi="Arial" w:cs="Arial"/>
          <w:sz w:val="22"/>
          <w:szCs w:val="22"/>
        </w:rPr>
        <w:t>and</w:t>
      </w:r>
    </w:p>
    <w:p w14:paraId="5F6ABE93" w14:textId="7E8997BE" w:rsidR="00AB22B2" w:rsidRPr="00AB22B2" w:rsidRDefault="00AB22B2" w:rsidP="00957E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AB22B2">
        <w:rPr>
          <w:rFonts w:ascii="Arial" w:hAnsi="Arial" w:cs="Arial"/>
          <w:sz w:val="22"/>
          <w:szCs w:val="22"/>
        </w:rPr>
        <w:t xml:space="preserve">streamline processes around the advertising and appointment of various positions within QCAT under the </w:t>
      </w:r>
      <w:r w:rsidRPr="00AB22B2">
        <w:rPr>
          <w:rFonts w:ascii="Arial" w:hAnsi="Arial" w:cs="Arial"/>
          <w:i/>
          <w:iCs/>
          <w:sz w:val="22"/>
          <w:szCs w:val="22"/>
        </w:rPr>
        <w:t>Queensland Civil and Administrative Tribunal Act 2009</w:t>
      </w:r>
      <w:r w:rsidR="005860EB">
        <w:rPr>
          <w:rFonts w:ascii="Arial" w:hAnsi="Arial" w:cs="Arial"/>
          <w:sz w:val="22"/>
          <w:szCs w:val="22"/>
        </w:rPr>
        <w:t>.</w:t>
      </w:r>
    </w:p>
    <w:p w14:paraId="1517EBB9" w14:textId="65CAD7D3" w:rsidR="00DB697C" w:rsidRPr="00C542E3" w:rsidRDefault="0060077C" w:rsidP="00E25609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C542E3">
        <w:rPr>
          <w:rFonts w:ascii="Arial" w:hAnsi="Arial" w:cs="Arial"/>
          <w:sz w:val="22"/>
          <w:szCs w:val="22"/>
          <w:u w:val="single"/>
        </w:rPr>
        <w:t xml:space="preserve"> </w:t>
      </w:r>
      <w:r w:rsidR="00DB697C" w:rsidRPr="00C542E3">
        <w:rPr>
          <w:rFonts w:ascii="Arial" w:hAnsi="Arial" w:cs="Arial"/>
          <w:sz w:val="22"/>
          <w:szCs w:val="22"/>
          <w:u w:val="single"/>
        </w:rPr>
        <w:t>approved</w:t>
      </w:r>
      <w:r w:rsidR="00DB697C" w:rsidRPr="006F72E7">
        <w:rPr>
          <w:rFonts w:ascii="Arial" w:hAnsi="Arial" w:cs="Arial"/>
          <w:sz w:val="22"/>
          <w:szCs w:val="22"/>
        </w:rPr>
        <w:t xml:space="preserve"> </w:t>
      </w:r>
      <w:r w:rsidR="00DB697C" w:rsidRPr="00C542E3">
        <w:rPr>
          <w:rFonts w:ascii="Arial" w:hAnsi="Arial" w:cs="Arial"/>
          <w:sz w:val="22"/>
          <w:szCs w:val="22"/>
        </w:rPr>
        <w:t xml:space="preserve">the introduction of the </w:t>
      </w:r>
      <w:r w:rsidR="00DB697C">
        <w:rPr>
          <w:rFonts w:ascii="Arial" w:hAnsi="Arial" w:cs="Arial"/>
          <w:sz w:val="22"/>
          <w:szCs w:val="22"/>
        </w:rPr>
        <w:t>Justice and Other Legislation Amendment Bill 2023</w:t>
      </w:r>
      <w:r w:rsidR="00DB697C" w:rsidRPr="00C542E3">
        <w:rPr>
          <w:rFonts w:ascii="Arial" w:hAnsi="Arial" w:cs="Arial"/>
          <w:sz w:val="22"/>
          <w:szCs w:val="22"/>
        </w:rPr>
        <w:t xml:space="preserve"> into the Legislative Assembly.</w:t>
      </w:r>
    </w:p>
    <w:p w14:paraId="074A0B6D" w14:textId="5E77550D" w:rsidR="00DB697C" w:rsidRPr="00C542E3" w:rsidRDefault="00DB697C" w:rsidP="00E25609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42E3">
        <w:rPr>
          <w:rFonts w:ascii="Arial" w:hAnsi="Arial" w:cs="Arial"/>
          <w:i/>
          <w:sz w:val="22"/>
          <w:szCs w:val="22"/>
          <w:u w:val="single"/>
        </w:rPr>
        <w:t>Attachment</w:t>
      </w:r>
      <w:r>
        <w:rPr>
          <w:rFonts w:ascii="Arial" w:hAnsi="Arial" w:cs="Arial"/>
          <w:i/>
          <w:sz w:val="22"/>
          <w:szCs w:val="22"/>
          <w:u w:val="single"/>
        </w:rPr>
        <w:t>s</w:t>
      </w:r>
      <w:r w:rsidR="00E25609">
        <w:rPr>
          <w:rFonts w:ascii="Arial" w:hAnsi="Arial" w:cs="Arial"/>
          <w:iCs/>
          <w:sz w:val="22"/>
          <w:szCs w:val="22"/>
        </w:rPr>
        <w:t>:</w:t>
      </w:r>
    </w:p>
    <w:p w14:paraId="3EA50C58" w14:textId="18FE5812" w:rsidR="00DB697C" w:rsidRDefault="00BE037E" w:rsidP="00957E92">
      <w:pPr>
        <w:numPr>
          <w:ilvl w:val="0"/>
          <w:numId w:val="8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DB697C" w:rsidRPr="000B3E33">
          <w:rPr>
            <w:rStyle w:val="Hyperlink"/>
            <w:rFonts w:ascii="Arial" w:hAnsi="Arial" w:cs="Arial"/>
            <w:sz w:val="22"/>
            <w:szCs w:val="22"/>
          </w:rPr>
          <w:t>Justice and Other Legislation Amendment Bill 2023</w:t>
        </w:r>
      </w:hyperlink>
    </w:p>
    <w:p w14:paraId="5CD76B34" w14:textId="71B9971E" w:rsidR="00DB697C" w:rsidRDefault="00BE037E" w:rsidP="00957E92">
      <w:pPr>
        <w:numPr>
          <w:ilvl w:val="0"/>
          <w:numId w:val="8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B697C" w:rsidRPr="000B3E3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5F732B6D" w14:textId="5BB66052" w:rsidR="007072CB" w:rsidRPr="00E25609" w:rsidRDefault="00BE037E" w:rsidP="00957E92">
      <w:pPr>
        <w:numPr>
          <w:ilvl w:val="0"/>
          <w:numId w:val="8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F05048" w:rsidRPr="000B3E33">
          <w:rPr>
            <w:rStyle w:val="Hyperlink"/>
            <w:rFonts w:ascii="Arial" w:hAnsi="Arial" w:cs="Arial"/>
            <w:sz w:val="22"/>
            <w:szCs w:val="22"/>
          </w:rPr>
          <w:t>Statement of Compatibility with Human Rights</w:t>
        </w:r>
      </w:hyperlink>
    </w:p>
    <w:sectPr w:rsidR="007072CB" w:rsidRPr="00E25609" w:rsidSect="00E25609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54A1" w14:textId="77777777" w:rsidR="00BF4CF0" w:rsidRDefault="00BF4CF0" w:rsidP="00A82E3B">
      <w:r>
        <w:separator/>
      </w:r>
    </w:p>
  </w:endnote>
  <w:endnote w:type="continuationSeparator" w:id="0">
    <w:p w14:paraId="1B93CEBA" w14:textId="77777777" w:rsidR="00BF4CF0" w:rsidRDefault="00BF4CF0" w:rsidP="00A82E3B">
      <w:r>
        <w:continuationSeparator/>
      </w:r>
    </w:p>
  </w:endnote>
  <w:endnote w:type="continuationNotice" w:id="1">
    <w:p w14:paraId="39A6276E" w14:textId="77777777" w:rsidR="00607295" w:rsidRDefault="00607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02F6" w14:textId="77777777" w:rsidR="00BF4CF0" w:rsidRDefault="00BF4CF0" w:rsidP="00A82E3B">
      <w:r>
        <w:separator/>
      </w:r>
    </w:p>
  </w:footnote>
  <w:footnote w:type="continuationSeparator" w:id="0">
    <w:p w14:paraId="08AF3F58" w14:textId="77777777" w:rsidR="00BF4CF0" w:rsidRDefault="00BF4CF0" w:rsidP="00A82E3B">
      <w:r>
        <w:continuationSeparator/>
      </w:r>
    </w:p>
  </w:footnote>
  <w:footnote w:type="continuationNotice" w:id="1">
    <w:p w14:paraId="6C2454F4" w14:textId="77777777" w:rsidR="00607295" w:rsidRDefault="00607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5CB5" w14:textId="77777777" w:rsidR="007D0A2C" w:rsidRPr="00937A4A" w:rsidRDefault="007D0A2C" w:rsidP="007D0A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6875064" w14:textId="77777777" w:rsidR="007D0A2C" w:rsidRPr="00937A4A" w:rsidRDefault="007D0A2C" w:rsidP="007D0A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023CE7E" w14:textId="3E1D9BE8" w:rsidR="007D0A2C" w:rsidRPr="00937A4A" w:rsidRDefault="007D0A2C" w:rsidP="007D0A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2023</w:t>
    </w:r>
  </w:p>
  <w:p w14:paraId="68B57A28" w14:textId="6EA21D7C" w:rsidR="007D0A2C" w:rsidRDefault="007D0A2C" w:rsidP="007D0A2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Justice and Other Legislation Amendment Bill 2023</w:t>
    </w:r>
  </w:p>
  <w:p w14:paraId="151C4E30" w14:textId="3DCAABFA" w:rsidR="007D0A2C" w:rsidRDefault="007D0A2C" w:rsidP="007D0A2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79F0525D" w14:textId="77777777" w:rsidR="007D0A2C" w:rsidRDefault="007D0A2C" w:rsidP="007D0A2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7BE9"/>
    <w:multiLevelType w:val="hybridMultilevel"/>
    <w:tmpl w:val="41EC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26DE0"/>
    <w:multiLevelType w:val="hybridMultilevel"/>
    <w:tmpl w:val="D7347D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657560"/>
    <w:multiLevelType w:val="hybridMultilevel"/>
    <w:tmpl w:val="6798CD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25BF0"/>
    <w:multiLevelType w:val="hybridMultilevel"/>
    <w:tmpl w:val="B9D80AD4"/>
    <w:lvl w:ilvl="0" w:tplc="0C09000B">
      <w:start w:val="1"/>
      <w:numFmt w:val="bullet"/>
      <w:lvlText w:val="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FB4FCE"/>
    <w:multiLevelType w:val="hybridMultilevel"/>
    <w:tmpl w:val="22346B8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61B35"/>
    <w:multiLevelType w:val="hybridMultilevel"/>
    <w:tmpl w:val="0EA66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D8CA7D6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FAB2AC2"/>
    <w:multiLevelType w:val="hybridMultilevel"/>
    <w:tmpl w:val="6E866A10"/>
    <w:lvl w:ilvl="0" w:tplc="0409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7045374">
    <w:abstractNumId w:val="6"/>
  </w:num>
  <w:num w:numId="2" w16cid:durableId="1357930658">
    <w:abstractNumId w:val="2"/>
  </w:num>
  <w:num w:numId="3" w16cid:durableId="1098867718">
    <w:abstractNumId w:val="3"/>
  </w:num>
  <w:num w:numId="4" w16cid:durableId="2098475747">
    <w:abstractNumId w:val="5"/>
  </w:num>
  <w:num w:numId="5" w16cid:durableId="412364213">
    <w:abstractNumId w:val="1"/>
  </w:num>
  <w:num w:numId="6" w16cid:durableId="1253125056">
    <w:abstractNumId w:val="4"/>
  </w:num>
  <w:num w:numId="7" w16cid:durableId="1557548928">
    <w:abstractNumId w:val="0"/>
  </w:num>
  <w:num w:numId="8" w16cid:durableId="154304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C"/>
    <w:rsid w:val="000B3E33"/>
    <w:rsid w:val="000B67AA"/>
    <w:rsid w:val="00173BA8"/>
    <w:rsid w:val="001B3DDE"/>
    <w:rsid w:val="001D17CA"/>
    <w:rsid w:val="00220164"/>
    <w:rsid w:val="00285B47"/>
    <w:rsid w:val="00290523"/>
    <w:rsid w:val="00340BB7"/>
    <w:rsid w:val="003851D0"/>
    <w:rsid w:val="00427082"/>
    <w:rsid w:val="004E0C72"/>
    <w:rsid w:val="00544D2C"/>
    <w:rsid w:val="005706BC"/>
    <w:rsid w:val="005860EB"/>
    <w:rsid w:val="0060077C"/>
    <w:rsid w:val="00607295"/>
    <w:rsid w:val="00622DD3"/>
    <w:rsid w:val="006607D1"/>
    <w:rsid w:val="006B60C1"/>
    <w:rsid w:val="006F4BE0"/>
    <w:rsid w:val="007072CB"/>
    <w:rsid w:val="007570A6"/>
    <w:rsid w:val="007633FE"/>
    <w:rsid w:val="007D0A2C"/>
    <w:rsid w:val="007E50EA"/>
    <w:rsid w:val="007F54CC"/>
    <w:rsid w:val="00814855"/>
    <w:rsid w:val="00826F7E"/>
    <w:rsid w:val="008E7772"/>
    <w:rsid w:val="008F64FD"/>
    <w:rsid w:val="009006DC"/>
    <w:rsid w:val="00957E92"/>
    <w:rsid w:val="009753BE"/>
    <w:rsid w:val="0098556F"/>
    <w:rsid w:val="009D0172"/>
    <w:rsid w:val="009E5DC7"/>
    <w:rsid w:val="00A303B3"/>
    <w:rsid w:val="00A7711F"/>
    <w:rsid w:val="00A82E3B"/>
    <w:rsid w:val="00A93105"/>
    <w:rsid w:val="00AA7AE8"/>
    <w:rsid w:val="00AB22B2"/>
    <w:rsid w:val="00B50472"/>
    <w:rsid w:val="00B6359D"/>
    <w:rsid w:val="00B709C7"/>
    <w:rsid w:val="00BC32D1"/>
    <w:rsid w:val="00BE037E"/>
    <w:rsid w:val="00BF4CF0"/>
    <w:rsid w:val="00C5342B"/>
    <w:rsid w:val="00C62D0E"/>
    <w:rsid w:val="00CA09AD"/>
    <w:rsid w:val="00CD4F7A"/>
    <w:rsid w:val="00D01BDF"/>
    <w:rsid w:val="00DB697C"/>
    <w:rsid w:val="00DC2F51"/>
    <w:rsid w:val="00E25609"/>
    <w:rsid w:val="00E413AC"/>
    <w:rsid w:val="00EF7132"/>
    <w:rsid w:val="00F0139C"/>
    <w:rsid w:val="00F05048"/>
    <w:rsid w:val="00F07324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D0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7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97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aliases w:val="Bullet point,Recommendation,Dot Point Lvl 1,List Paragraph1,List Paragraph11,List Paragraph111,L,F5 List Paragraph,Dot pt,CV text,Table text,Medium Grid 1 - Accent 21,Numbered Paragraph,List Paragraph2,NFP GP Bulleted List,FooterText,列出段"/>
    <w:basedOn w:val="Normal"/>
    <w:link w:val="ListParagraphChar"/>
    <w:uiPriority w:val="34"/>
    <w:qFormat/>
    <w:rsid w:val="00DB697C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A82E3B"/>
    <w:rPr>
      <w:rFonts w:ascii="Arial" w:eastAsia="SimSun" w:hAnsi="Arial"/>
      <w:color w:val="auto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82E3B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A82E3B"/>
    <w:rPr>
      <w:rFonts w:cs="Times New Roman"/>
      <w:vertAlign w:val="superscript"/>
    </w:rPr>
  </w:style>
  <w:style w:type="character" w:customStyle="1" w:styleId="ListParagraphChar">
    <w:name w:val="List Paragraph Char"/>
    <w:aliases w:val="Bullet point Char,Recommendation Char,Dot Point Lvl 1 Char,List Paragraph1 Char,List Paragraph11 Char,List Paragraph111 Char,L Char,F5 List Paragraph Char,Dot pt Char,CV text Char,Table text Char,Medium Grid 1 - Accent 21 Char"/>
    <w:link w:val="ListParagraph"/>
    <w:uiPriority w:val="34"/>
    <w:qFormat/>
    <w:locked/>
    <w:rsid w:val="00A82E3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A7AE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7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1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11F"/>
    <w:rPr>
      <w:rFonts w:ascii="Times New Roman" w:eastAsia="Calibri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1F"/>
    <w:rPr>
      <w:rFonts w:ascii="Times New Roman" w:eastAsia="Calibri" w:hAnsi="Times New Roman" w:cs="Times New Roman"/>
      <w:b/>
      <w:bCs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D0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2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B3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E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cqld.sharepoint.com/sites/DPC-CABINETSERVICES/Shared%20Documents/General/Proactive%20Release/ToBeProcessed/2023/May/JOLAB/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May/JOLAB/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May/JOLAB/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76DEE422-C8EA-42CC-AC03-04A5C0BA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3F4A8-B93A-4D57-9CDF-51D180B6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14E06-FFAB-4C6E-BBB1-CA5EEE8A8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AE2E3-E089-412C-9173-F3F1B68C2D47}">
  <ds:schemaRefs>
    <ds:schemaRef ds:uri="http://schemas.microsoft.com/office/infopath/2007/PartnerControls"/>
    <ds:schemaRef ds:uri="http://purl.org/dc/terms/"/>
    <ds:schemaRef ds:uri="63e311de-a790-43ff-be63-577c26c750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2065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Base>https://www.cabinet.qld.gov.au/documents/2023/May/JOLAB/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2023-10-19T03:26:00Z</dcterms:created>
  <dcterms:modified xsi:type="dcterms:W3CDTF">2024-09-26T21:51:00Z</dcterms:modified>
  <cp:category>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